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C8" w:rsidRDefault="001C0EC8" w:rsidP="009B26BA">
      <w:pPr>
        <w:jc w:val="center"/>
        <w:rPr>
          <w:b/>
          <w:color w:val="FF0000"/>
          <w:spacing w:val="20"/>
          <w:sz w:val="52"/>
          <w:szCs w:val="52"/>
        </w:rPr>
      </w:pPr>
      <w:r>
        <w:rPr>
          <w:rFonts w:hint="eastAsia"/>
          <w:b/>
          <w:color w:val="FF0000"/>
          <w:spacing w:val="20"/>
          <w:sz w:val="52"/>
          <w:szCs w:val="52"/>
        </w:rPr>
        <w:t>北京理工大学机械与车辆</w:t>
      </w:r>
      <w:r w:rsidR="009B26BA">
        <w:rPr>
          <w:rFonts w:hint="eastAsia"/>
          <w:b/>
          <w:color w:val="FF0000"/>
          <w:spacing w:val="20"/>
          <w:sz w:val="52"/>
          <w:szCs w:val="52"/>
        </w:rPr>
        <w:t>学院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="00364E8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1C0EC8" w:rsidRDefault="001C0EC8" w:rsidP="001C0EC8">
      <w:pPr>
        <w:spacing w:line="200" w:lineRule="exact"/>
        <w:rPr>
          <w:rFonts w:ascii="楷体_GB2312" w:eastAsia="楷体_GB2312" w:hAnsi="宋体"/>
          <w:b/>
          <w:color w:val="FF0000"/>
          <w:sz w:val="28"/>
          <w:szCs w:val="32"/>
          <w:u w:val="thick"/>
        </w:rPr>
      </w:pPr>
      <w:r>
        <w:rPr>
          <w:rFonts w:ascii="楷体_GB2312" w:eastAsia="楷体_GB2312" w:hAnsi="宋体" w:hint="eastAsia"/>
          <w:b/>
          <w:color w:val="FF0000"/>
          <w:sz w:val="28"/>
          <w:szCs w:val="32"/>
          <w:u w:val="thick"/>
        </w:rPr>
        <w:t xml:space="preserve">                                                               </w:t>
      </w:r>
    </w:p>
    <w:p w:rsidR="001C0EC8" w:rsidRPr="00796521" w:rsidRDefault="001C0EC8" w:rsidP="001C0EC8">
      <w:pPr>
        <w:spacing w:line="80" w:lineRule="exact"/>
        <w:rPr>
          <w:rFonts w:ascii="楷体_GB2312" w:eastAsia="楷体_GB2312" w:hAnsi="宋体"/>
          <w:color w:val="FF0000"/>
          <w:sz w:val="32"/>
          <w:szCs w:val="32"/>
          <w:u w:val="single"/>
        </w:rPr>
      </w:pPr>
      <w:r>
        <w:rPr>
          <w:rFonts w:ascii="楷体_GB2312" w:eastAsia="楷体_GB2312" w:hAnsi="宋体" w:hint="eastAsia"/>
          <w:color w:val="FF0000"/>
          <w:sz w:val="32"/>
          <w:szCs w:val="32"/>
          <w:u w:val="single"/>
        </w:rPr>
        <w:t xml:space="preserve">                                                       </w:t>
      </w:r>
    </w:p>
    <w:p w:rsidR="00E2035D" w:rsidRPr="001C0EC8" w:rsidRDefault="00E2035D" w:rsidP="009C314A">
      <w:pPr>
        <w:widowControl/>
        <w:shd w:val="clear" w:color="auto" w:fill="FFFFFF"/>
        <w:adjustRightInd w:val="0"/>
        <w:snapToGrid w:val="0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9C314A">
      <w:pPr>
        <w:widowControl/>
        <w:shd w:val="clear" w:color="auto" w:fill="FFFFFF"/>
        <w:adjustRightInd w:val="0"/>
        <w:snapToGrid w:val="0"/>
        <w:jc w:val="center"/>
        <w:rPr>
          <w:rFonts w:ascii="华文中宋" w:eastAsia="华文中宋" w:hAnsi="华文中宋" w:cs="Helvetica"/>
          <w:color w:val="000000"/>
          <w:spacing w:val="24"/>
          <w:kern w:val="0"/>
          <w:sz w:val="44"/>
          <w:szCs w:val="44"/>
        </w:rPr>
      </w:pP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机械与车辆学院学科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知识</w:t>
      </w: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竞赛</w:t>
      </w:r>
      <w:r w:rsid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、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科技创新竞赛获奖生</w:t>
      </w:r>
      <w:r w:rsid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和</w:t>
      </w:r>
      <w:r w:rsidR="009C314A"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特殊专长生</w:t>
      </w:r>
      <w:r w:rsidRPr="009C314A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推荐免试研究生工作办法</w:t>
      </w:r>
      <w:r w:rsidR="005870A8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（</w:t>
      </w:r>
      <w:r w:rsidR="00CF6F9F">
        <w:rPr>
          <w:rFonts w:ascii="华文中宋" w:eastAsia="华文中宋" w:hAnsi="华文中宋" w:cs="Helvetica"/>
          <w:color w:val="000000"/>
          <w:spacing w:val="24"/>
          <w:kern w:val="0"/>
          <w:sz w:val="44"/>
          <w:szCs w:val="44"/>
        </w:rPr>
        <w:t>201</w:t>
      </w:r>
      <w:r w:rsidR="0050228D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9</w:t>
      </w:r>
      <w:r w:rsidR="005870A8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年修订</w:t>
      </w:r>
      <w:r w:rsidR="008B0050">
        <w:rPr>
          <w:rFonts w:ascii="华文中宋" w:eastAsia="华文中宋" w:hAnsi="华文中宋" w:cs="Helvetica" w:hint="eastAsia"/>
          <w:color w:val="000000"/>
          <w:spacing w:val="24"/>
          <w:kern w:val="0"/>
          <w:sz w:val="44"/>
          <w:szCs w:val="44"/>
        </w:rPr>
        <w:t>）</w:t>
      </w:r>
    </w:p>
    <w:p w:rsidR="00FD6D2A" w:rsidRPr="009C314A" w:rsidRDefault="00FD6D2A" w:rsidP="001C0EC8">
      <w:pPr>
        <w:widowControl/>
        <w:shd w:val="clear" w:color="auto" w:fill="FFFFFF"/>
        <w:adjustRightInd w:val="0"/>
        <w:snapToGrid w:val="0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bookmarkStart w:id="0" w:name="_GoBack"/>
      <w:bookmarkEnd w:id="0"/>
    </w:p>
    <w:p w:rsidR="00086AC0" w:rsidRPr="00086AC0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8"/>
          <w:szCs w:val="28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一、基本原则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本办法适用对象为学科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知识竞赛、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科技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创新竞赛获奖生和在学科、科技方面有特殊专长的学生，且已经提出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申请推荐免试研究生的学生。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推荐工作本着公正、公平、公开的原则，坚持学科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竞赛、科技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创新竞赛和特殊专长学生的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全面衡量，严格控制条件，实事求是，择优推荐，保证质量。</w:t>
      </w:r>
    </w:p>
    <w:p w:rsidR="00FD6D2A" w:rsidRPr="009C314A" w:rsidRDefault="00FD6D2A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FD6D2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二、基本条件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被推荐学生必须满足以下五项基本条件：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．政治坚定，热爱祖国，拥护中国共产党领导，遵纪守法，在校期间无违法违纪记录；</w:t>
      </w:r>
    </w:p>
    <w:p w:rsidR="00090081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．做人诚实守信，作风优良，群众基础好，在师生中具有较好的口碑；</w:t>
      </w:r>
    </w:p>
    <w:p w:rsidR="00090081" w:rsidRPr="009C314A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3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．被推荐时，国家英语四级考试的分数在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425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分以上（含）；</w:t>
      </w:r>
    </w:p>
    <w:p w:rsidR="00E2035D" w:rsidRPr="009C314A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lastRenderedPageBreak/>
        <w:t>4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．在校期间获得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学校和学院共同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认可的各类大学生学科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竞赛或科技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创新竞赛国家级或国际级二等奖以上（含）；</w:t>
      </w:r>
    </w:p>
    <w:p w:rsidR="00492434" w:rsidRDefault="00090081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5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="00492434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学习成绩合格，被推荐时已获得培养计划规定中全部应得学分且</w:t>
      </w:r>
      <w:r w:rsidR="0021071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无</w:t>
      </w:r>
      <w:r w:rsidR="00CF6F9F" w:rsidRPr="00CF6F9F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不及格课程记录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，</w:t>
      </w:r>
      <w:r w:rsidR="00574B6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且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原则上学习成绩专业排序在前</w:t>
      </w:r>
      <w:r w:rsidR="0021071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3</w:t>
      </w:r>
      <w:r w:rsidR="0021071D"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  <w:t>5</w:t>
      </w:r>
      <w:r w:rsidR="0021071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%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以内</w:t>
      </w:r>
      <w:r w:rsidR="00672F5E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FD6D2A" w:rsidRPr="001C0EC8" w:rsidRDefault="00FD6D2A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</w:p>
    <w:p w:rsidR="00E2035D" w:rsidRPr="00FD6D2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FD6D2A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三、推荐办法</w:t>
      </w:r>
    </w:p>
    <w:p w:rsid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学院对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于</w:t>
      </w:r>
      <w:r w:rsidR="0050228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申请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了</w:t>
      </w:r>
      <w:r w:rsidR="0050228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学科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知识竞赛、</w:t>
      </w:r>
      <w:r w:rsidR="0050228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科技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创新竞赛获奖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推荐免试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生且满足基本条件的学生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按照如下量化计算公式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进行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竞赛获奖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测评排序，按照排序结果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并参考学习成绩排序以及其他表现排序，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拟定名单上报学校，根据学校批复的名额依次</w:t>
      </w:r>
      <w:proofErr w:type="gramStart"/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确定</w:t>
      </w:r>
      <w:r w:rsidR="00FD6D2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推免名单</w:t>
      </w:r>
      <w:proofErr w:type="gramEnd"/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B75D4B" w:rsidRP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对于特殊</w:t>
      </w:r>
      <w:r w:rsidR="0050228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学术专长生，如在某一学科领域确有特殊专长并做出一定成绩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，或在重要活动中为学校争得显著荣誉等，</w:t>
      </w:r>
      <w:r w:rsidR="00B75D4B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可以不进行量化计算排序，直接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经学院推荐上报学校裁定。</w:t>
      </w:r>
    </w:p>
    <w:p w:rsidR="00086AC0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量化计算公式为：</w:t>
      </w:r>
    </w:p>
    <w:p w:rsidR="00E2035D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proofErr w:type="gramStart"/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排序值</w:t>
      </w:r>
      <w:proofErr w:type="gramEnd"/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=A*B*C+D，值越高，排序越高。</w:t>
      </w:r>
    </w:p>
    <w:p w:rsidR="00086AC0" w:rsidRPr="00B75D4B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其中：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A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为获奖等级分值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2589"/>
      </w:tblGrid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等级分数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国家（际）级特等奖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国家（际）级一等奖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80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国家（际）级二等奖</w:t>
            </w:r>
          </w:p>
        </w:tc>
        <w:tc>
          <w:tcPr>
            <w:tcW w:w="2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4947C1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70</w:t>
            </w:r>
          </w:p>
        </w:tc>
      </w:tr>
    </w:tbl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宋体" w:eastAsia="宋体" w:hAnsi="宋体" w:cs="宋体" w:hint="eastAsia"/>
          <w:color w:val="000000"/>
          <w:spacing w:val="24"/>
          <w:kern w:val="0"/>
          <w:sz w:val="24"/>
          <w:szCs w:val="24"/>
        </w:rPr>
        <w:t> 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lastRenderedPageBreak/>
        <w:t>对于不设等级而设名次的竞赛，第一名相当于特等奖，第二名相当于一等奖，第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三名相当于二等奖；</w:t>
      </w:r>
      <w:r w:rsidR="00086AC0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各项等级以获奖证书或组织方出具的正式文件为准。</w:t>
      </w:r>
    </w:p>
    <w:p w:rsidR="00086AC0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B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为同一项目类学生排序系数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对于同一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获奖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项目</w:t>
      </w:r>
      <w:r w:rsidR="004947C1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，学院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认可不超过三名学生，排序以指导教师团队出具的书面说明为准。排名第一、第二、第三的学生排序系数分别为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、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0.</w:t>
      </w:r>
      <w:r w:rsidR="00086AC0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7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、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0.</w:t>
      </w:r>
      <w:r w:rsidR="00086AC0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5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086AC0" w:rsidRPr="009C314A" w:rsidRDefault="00086AC0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3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C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为竞赛项目的影响因子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结合学院实际情况，将以下各项竞赛分别赋予一定影响因子：</w:t>
      </w:r>
    </w:p>
    <w:tbl>
      <w:tblPr>
        <w:tblW w:w="0" w:type="auto"/>
        <w:jc w:val="center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1"/>
        <w:gridCol w:w="993"/>
      </w:tblGrid>
      <w:tr w:rsidR="00E2035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影响因子</w:t>
            </w:r>
          </w:p>
        </w:tc>
      </w:tr>
      <w:tr w:rsidR="00E2035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中国（美国）大学生数学建模竞赛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“挑战杯”全国大学生学术科技竞赛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中国（欧美日）大学生方程式汽车大赛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035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全国大学生机械创新设计大赛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70A8" w:rsidRPr="005870A8" w:rsidRDefault="0088429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5870A8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9C314A" w:rsidRDefault="005870A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全国无人驾驶大学生方程式汽车大赛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70A8" w:rsidRPr="005870A8" w:rsidRDefault="005870A8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E24984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984" w:rsidRDefault="008C77AA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</w:t>
            </w:r>
            <w:r w:rsidR="00E24984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“互联网+”大学生创新创业大赛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984" w:rsidRDefault="008C77AA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B902D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“创青春”全国大学生创业大赛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B902D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Default="0050228D" w:rsidP="00B902D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</w:pPr>
            <w:r w:rsidRPr="0050228D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全国大学生节能减排社会实践与科技竞赛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Default="00E27D60" w:rsidP="00B902D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1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全国大学生创新创业年会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“飞思卡尔”全国大学生智能车竞赛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中国节能竞技大赛（亚洲汽车环保赛）</w:t>
            </w:r>
            <w:r w:rsidR="00E27D60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等系列赛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0.8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全国大学生机械产品数字化设计大赛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全国大学生工程训练综合能力竞赛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</w:t>
            </w: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lastRenderedPageBreak/>
              <w:t>全国大学生巴哈越野车大赛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0.6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全国大学生结构设计竞赛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0.6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全国大学生电子设计竞赛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0.6</w:t>
            </w:r>
          </w:p>
        </w:tc>
      </w:tr>
      <w:tr w:rsidR="0050228D" w:rsidRPr="009C314A" w:rsidTr="00E27D60">
        <w:trPr>
          <w:trHeight w:val="454"/>
          <w:jc w:val="center"/>
        </w:trPr>
        <w:tc>
          <w:tcPr>
            <w:tcW w:w="7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全国大学生先进成图技术与产品信息建模大赛</w:t>
            </w:r>
            <w:r w:rsidR="00E27D60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等系列赛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228D" w:rsidRPr="009C314A" w:rsidRDefault="0050228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24"/>
                <w:kern w:val="0"/>
                <w:sz w:val="24"/>
                <w:szCs w:val="24"/>
              </w:rPr>
              <w:t>0.6</w:t>
            </w:r>
          </w:p>
        </w:tc>
      </w:tr>
    </w:tbl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宋体" w:eastAsia="宋体" w:hAnsi="宋体" w:cs="宋体" w:hint="eastAsia"/>
          <w:color w:val="000000"/>
          <w:spacing w:val="24"/>
          <w:kern w:val="0"/>
          <w:sz w:val="24"/>
          <w:szCs w:val="24"/>
        </w:rPr>
        <w:t> 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对于以上未涉及到的项目，若其确实具备较高水平且对学院人才培养、学科建设具有较为显著推动作用，经学院认定后可追加赋值。</w:t>
      </w:r>
    </w:p>
    <w:p w:rsidR="00AD7A74" w:rsidRPr="009C314A" w:rsidRDefault="00AD7A74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3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4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</w:t>
      </w: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D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为加分项目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对于有较高水平学术论文发表的、获专利授权的，可以获得本加分项目。学术论文要求学生为第一作者或第二作者（指导教师为第一作者）；专利要求学生排名前三名。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3"/>
        <w:gridCol w:w="2338"/>
      </w:tblGrid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b/>
                <w:bCs/>
                <w:spacing w:val="24"/>
                <w:kern w:val="0"/>
                <w:sz w:val="24"/>
                <w:szCs w:val="24"/>
              </w:rPr>
              <w:t>分值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获得发明专利授权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发表SCI检索学术论文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作为主编、副主编参与专著编写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10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参与专著编写独立完成5万字以上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8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发表EI检索学术论文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6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获实用新型或外观设计专利授权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3</w:t>
            </w:r>
          </w:p>
        </w:tc>
      </w:tr>
      <w:tr w:rsidR="00E2035D" w:rsidRPr="009C314A" w:rsidTr="00E2035D">
        <w:trPr>
          <w:trHeight w:val="454"/>
          <w:jc w:val="center"/>
        </w:trPr>
        <w:tc>
          <w:tcPr>
            <w:tcW w:w="57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宋体" w:hint="eastAsia"/>
                <w:spacing w:val="24"/>
                <w:kern w:val="0"/>
                <w:sz w:val="24"/>
                <w:szCs w:val="24"/>
              </w:rPr>
              <w:t>发表中文核心期刊收录学术论文</w:t>
            </w:r>
          </w:p>
        </w:tc>
        <w:tc>
          <w:tcPr>
            <w:tcW w:w="23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035D" w:rsidRPr="009C314A" w:rsidRDefault="00E2035D" w:rsidP="001C0EC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宋体"/>
                <w:spacing w:val="24"/>
                <w:kern w:val="0"/>
                <w:sz w:val="24"/>
                <w:szCs w:val="24"/>
              </w:rPr>
            </w:pPr>
            <w:r w:rsidRPr="009C314A">
              <w:rPr>
                <w:rFonts w:ascii="仿宋" w:eastAsia="仿宋" w:hAnsi="仿宋" w:cs="Times New Roman"/>
                <w:spacing w:val="24"/>
                <w:kern w:val="0"/>
                <w:sz w:val="24"/>
                <w:szCs w:val="24"/>
              </w:rPr>
              <w:t>3</w:t>
            </w:r>
          </w:p>
        </w:tc>
      </w:tr>
    </w:tbl>
    <w:p w:rsidR="00AE7ADD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</w:p>
    <w:p w:rsidR="00E2035D" w:rsidRPr="00AE7AD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b/>
          <w:color w:val="000000"/>
          <w:spacing w:val="24"/>
          <w:kern w:val="0"/>
          <w:sz w:val="27"/>
          <w:szCs w:val="27"/>
        </w:rPr>
      </w:pPr>
      <w:r w:rsidRPr="00AE7ADD">
        <w:rPr>
          <w:rFonts w:ascii="仿宋" w:eastAsia="仿宋" w:hAnsi="仿宋" w:cs="Helvetica" w:hint="eastAsia"/>
          <w:b/>
          <w:color w:val="000000"/>
          <w:spacing w:val="24"/>
          <w:kern w:val="0"/>
          <w:sz w:val="28"/>
          <w:szCs w:val="28"/>
        </w:rPr>
        <w:t>四、其他事项</w:t>
      </w:r>
    </w:p>
    <w:p w:rsidR="00E2035D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8"/>
          <w:szCs w:val="28"/>
        </w:rPr>
      </w:pPr>
      <w:r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1</w:t>
      </w:r>
      <w:r w:rsidR="00AE7AD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．对于同一作品参加不同</w:t>
      </w:r>
      <w:r w:rsidR="00E27D60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赛事</w:t>
      </w:r>
      <w:r w:rsidR="00AE7ADD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的情况，若该作品有重大改动，可视</w:t>
      </w:r>
      <w:r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为不同作品；否则视为同一作品取其最高值计算。</w:t>
      </w:r>
    </w:p>
    <w:p w:rsidR="00AE7AD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lastRenderedPageBreak/>
        <w:t>2.同一学生</w:t>
      </w:r>
      <w:r w:rsidR="00364E89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获奖数量不止一项时，以分值最高的奖项的分数为准，各项不累加</w:t>
      </w: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。</w:t>
      </w:r>
    </w:p>
    <w:p w:rsidR="00E2035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3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．学院相关工作机构为教学工作委员会，本办法解释权</w:t>
      </w:r>
      <w:proofErr w:type="gramStart"/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归教学</w:t>
      </w:r>
      <w:proofErr w:type="gramEnd"/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工作委员会。</w:t>
      </w:r>
    </w:p>
    <w:p w:rsidR="00E2035D" w:rsidRPr="009C314A" w:rsidRDefault="00AE7ADD" w:rsidP="001C0EC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56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4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．此类推荐名单在上报学校前，要在学院内进行不少于三个工作日的公示。</w:t>
      </w:r>
    </w:p>
    <w:p w:rsidR="00E2035D" w:rsidRPr="009C314A" w:rsidRDefault="00E2035D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</w:p>
    <w:p w:rsidR="00AD7A74" w:rsidRPr="001C0EC8" w:rsidRDefault="00AD7A74" w:rsidP="001C0E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spacing w:val="24"/>
          <w:kern w:val="0"/>
          <w:sz w:val="32"/>
          <w:szCs w:val="32"/>
        </w:rPr>
      </w:pPr>
    </w:p>
    <w:p w:rsidR="00E2035D" w:rsidRPr="009C314A" w:rsidRDefault="001C0EC8" w:rsidP="001C0EC8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 xml:space="preserve"> 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机械与车辆学院</w:t>
      </w:r>
    </w:p>
    <w:p w:rsidR="00E2035D" w:rsidRPr="009C314A" w:rsidRDefault="00BE3AC5" w:rsidP="001C0EC8">
      <w:pPr>
        <w:widowControl/>
        <w:shd w:val="clear" w:color="auto" w:fill="FFFFFF"/>
        <w:adjustRightInd w:val="0"/>
        <w:snapToGrid w:val="0"/>
        <w:spacing w:line="360" w:lineRule="auto"/>
        <w:jc w:val="right"/>
        <w:rPr>
          <w:rFonts w:ascii="仿宋" w:eastAsia="仿宋" w:hAnsi="仿宋" w:cs="Helvetica"/>
          <w:color w:val="000000"/>
          <w:spacing w:val="24"/>
          <w:kern w:val="0"/>
          <w:sz w:val="27"/>
          <w:szCs w:val="27"/>
        </w:rPr>
      </w:pPr>
      <w:r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201</w:t>
      </w:r>
      <w:r w:rsidR="00E27D60">
        <w:rPr>
          <w:rFonts w:ascii="仿宋" w:eastAsia="仿宋" w:hAnsi="仿宋" w:cs="Times New Roman" w:hint="eastAsia"/>
          <w:color w:val="000000"/>
          <w:spacing w:val="24"/>
          <w:kern w:val="0"/>
          <w:sz w:val="28"/>
          <w:szCs w:val="28"/>
        </w:rPr>
        <w:t>9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年</w:t>
      </w:r>
      <w:r w:rsidR="00E2035D" w:rsidRPr="009C314A">
        <w:rPr>
          <w:rFonts w:ascii="仿宋" w:eastAsia="仿宋" w:hAnsi="仿宋" w:cs="Times New Roman"/>
          <w:color w:val="000000"/>
          <w:spacing w:val="24"/>
          <w:kern w:val="0"/>
          <w:sz w:val="28"/>
          <w:szCs w:val="28"/>
        </w:rPr>
        <w:t>9</w:t>
      </w:r>
      <w:r w:rsidR="00E2035D" w:rsidRPr="009C314A">
        <w:rPr>
          <w:rFonts w:ascii="仿宋" w:eastAsia="仿宋" w:hAnsi="仿宋" w:cs="Helvetica" w:hint="eastAsia"/>
          <w:color w:val="000000"/>
          <w:spacing w:val="24"/>
          <w:kern w:val="0"/>
          <w:sz w:val="28"/>
          <w:szCs w:val="28"/>
        </w:rPr>
        <w:t>月</w:t>
      </w:r>
    </w:p>
    <w:p w:rsidR="00513818" w:rsidRPr="009C314A" w:rsidRDefault="00513818" w:rsidP="009C314A">
      <w:pPr>
        <w:adjustRightInd w:val="0"/>
        <w:snapToGrid w:val="0"/>
        <w:jc w:val="left"/>
        <w:rPr>
          <w:rFonts w:ascii="仿宋" w:eastAsia="仿宋" w:hAnsi="仿宋"/>
        </w:rPr>
      </w:pPr>
    </w:p>
    <w:sectPr w:rsidR="00513818" w:rsidRPr="009C314A" w:rsidSect="002902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AE8" w:rsidRDefault="001D0AE8" w:rsidP="001C0EC8">
      <w:r>
        <w:separator/>
      </w:r>
    </w:p>
  </w:endnote>
  <w:endnote w:type="continuationSeparator" w:id="0">
    <w:p w:rsidR="001D0AE8" w:rsidRDefault="001D0AE8" w:rsidP="001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51"/>
      <w:docPartObj>
        <w:docPartGallery w:val="Page Numbers (Bottom of Page)"/>
        <w:docPartUnique/>
      </w:docPartObj>
    </w:sdtPr>
    <w:sdtEndPr/>
    <w:sdtContent>
      <w:p w:rsidR="001C0EC8" w:rsidRDefault="00C413F8">
        <w:pPr>
          <w:pStyle w:val="a4"/>
          <w:jc w:val="center"/>
        </w:pPr>
        <w:r>
          <w:fldChar w:fldCharType="begin"/>
        </w:r>
        <w:r w:rsidR="00163075">
          <w:instrText xml:space="preserve"> PAGE   \* MERGEFORMAT </w:instrText>
        </w:r>
        <w:r>
          <w:fldChar w:fldCharType="separate"/>
        </w:r>
        <w:r w:rsidR="00E27D60" w:rsidRPr="00E27D6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C0EC8" w:rsidRDefault="001C0E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AE8" w:rsidRDefault="001D0AE8" w:rsidP="001C0EC8">
      <w:r>
        <w:separator/>
      </w:r>
    </w:p>
  </w:footnote>
  <w:footnote w:type="continuationSeparator" w:id="0">
    <w:p w:rsidR="001D0AE8" w:rsidRDefault="001D0AE8" w:rsidP="001C0EC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K">
    <w15:presenceInfo w15:providerId="None" w15:userId="M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1A05"/>
    <w:rsid w:val="00071476"/>
    <w:rsid w:val="00086AC0"/>
    <w:rsid w:val="00090081"/>
    <w:rsid w:val="000D6C65"/>
    <w:rsid w:val="001426FA"/>
    <w:rsid w:val="00163075"/>
    <w:rsid w:val="001C0EC8"/>
    <w:rsid w:val="001C7244"/>
    <w:rsid w:val="001D0AE8"/>
    <w:rsid w:val="0021071D"/>
    <w:rsid w:val="00222B4F"/>
    <w:rsid w:val="002902B0"/>
    <w:rsid w:val="002B12E1"/>
    <w:rsid w:val="002F19D6"/>
    <w:rsid w:val="00364E89"/>
    <w:rsid w:val="00435A31"/>
    <w:rsid w:val="00492434"/>
    <w:rsid w:val="004947C1"/>
    <w:rsid w:val="0050228D"/>
    <w:rsid w:val="00513818"/>
    <w:rsid w:val="00574B6D"/>
    <w:rsid w:val="005870A8"/>
    <w:rsid w:val="005B4E58"/>
    <w:rsid w:val="005F37E7"/>
    <w:rsid w:val="00672F5E"/>
    <w:rsid w:val="00851A05"/>
    <w:rsid w:val="00884298"/>
    <w:rsid w:val="008B0050"/>
    <w:rsid w:val="008C77AA"/>
    <w:rsid w:val="009B26BA"/>
    <w:rsid w:val="009C314A"/>
    <w:rsid w:val="00AD7A74"/>
    <w:rsid w:val="00AD7D0C"/>
    <w:rsid w:val="00AE7ADD"/>
    <w:rsid w:val="00B75D4B"/>
    <w:rsid w:val="00BE3AC5"/>
    <w:rsid w:val="00C14284"/>
    <w:rsid w:val="00C413F8"/>
    <w:rsid w:val="00C54C9C"/>
    <w:rsid w:val="00CF6F9F"/>
    <w:rsid w:val="00D27227"/>
    <w:rsid w:val="00D85B3F"/>
    <w:rsid w:val="00E2035D"/>
    <w:rsid w:val="00E24984"/>
    <w:rsid w:val="00E27D60"/>
    <w:rsid w:val="00F6572C"/>
    <w:rsid w:val="00FD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E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Jiaxin</dc:creator>
  <cp:keywords/>
  <dc:description/>
  <cp:lastModifiedBy>fwh</cp:lastModifiedBy>
  <cp:revision>29</cp:revision>
  <dcterms:created xsi:type="dcterms:W3CDTF">2016-09-13T05:06:00Z</dcterms:created>
  <dcterms:modified xsi:type="dcterms:W3CDTF">2019-09-09T02:40:00Z</dcterms:modified>
</cp:coreProperties>
</file>