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1" w:line="187" w:lineRule="auto"/>
        <w:ind w:firstLine="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附件三：</w:t>
      </w:r>
    </w:p>
    <w:p>
      <w:pPr>
        <w:spacing w:line="242" w:lineRule="auto"/>
        <w:rPr>
          <w:rFonts w:ascii="Times New Roman"/>
          <w:sz w:val="21"/>
        </w:rPr>
      </w:pPr>
    </w:p>
    <w:p>
      <w:pPr>
        <w:spacing w:before="162" w:line="180" w:lineRule="auto"/>
        <w:ind w:firstLine="482"/>
        <w:rPr>
          <w:rFonts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ascii="华文中宋" w:hAnsi="华文中宋" w:eastAsia="华文中宋" w:cs="华文中宋"/>
          <w:spacing w:val="-2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北京理工大学“世纪杯”学生创意竞赛章程</w:t>
      </w:r>
    </w:p>
    <w:bookmarkEnd w:id="0"/>
    <w:p>
      <w:pPr>
        <w:spacing w:line="285" w:lineRule="auto"/>
        <w:rPr>
          <w:rFonts w:ascii="Times New Roman"/>
          <w:sz w:val="21"/>
        </w:rPr>
      </w:pPr>
    </w:p>
    <w:p>
      <w:pPr>
        <w:spacing w:line="286" w:lineRule="auto"/>
        <w:rPr>
          <w:rFonts w:ascii="Times New Roman"/>
          <w:sz w:val="21"/>
        </w:rPr>
      </w:pPr>
    </w:p>
    <w:p>
      <w:pPr>
        <w:spacing w:line="286" w:lineRule="auto"/>
        <w:rPr>
          <w:rFonts w:ascii="Times New Roman"/>
          <w:sz w:val="21"/>
        </w:rPr>
      </w:pPr>
    </w:p>
    <w:p>
      <w:pPr>
        <w:spacing w:before="104" w:line="188" w:lineRule="auto"/>
        <w:ind w:firstLine="35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第一章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总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则</w:t>
      </w:r>
    </w:p>
    <w:p>
      <w:pPr>
        <w:spacing w:before="296" w:line="303" w:lineRule="auto"/>
        <w:ind w:right="110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第一条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北京理工大学“世纪杯”学生创意竞赛是面向全体在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校生开展的创意赛事，是由北京理工大学主办，校团委、学生创新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创业实践中心共同承办，每年举办一届。</w:t>
      </w:r>
    </w:p>
    <w:p>
      <w:pPr>
        <w:spacing w:before="297" w:line="360" w:lineRule="auto"/>
        <w:ind w:left="5" w:right="112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第二条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竞赛的宗旨：</w:t>
      </w:r>
      <w:r>
        <w:rPr>
          <w:rFonts w:ascii="仿宋" w:hAnsi="仿宋" w:eastAsia="仿宋" w:cs="仿宋"/>
          <w:spacing w:val="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培育创意思维，增强创新能力，弘扬红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色传统，服务领军领导人才培养。</w:t>
      </w:r>
    </w:p>
    <w:p>
      <w:pPr>
        <w:spacing w:line="360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第三条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竞赛的目的：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旨在激发同学们的想象力，为军工建设、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科技创新、文化生活提供新理念、新思维、新方法。重点引导和激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励学生增强国防观念、提升军工创新能力，为学生投身国防军工搭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建创新实践平台，选拔和培育具有可塑性、创新性、实用性的创意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项目，浓厚校园创新文化氛围，培育领军领导人才。</w:t>
      </w:r>
    </w:p>
    <w:p>
      <w:pPr>
        <w:spacing w:before="7" w:line="359" w:lineRule="auto"/>
        <w:ind w:left="2" w:right="110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第四条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竞赛的基本方式：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学生通过网络申报项目，各学院、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书院负责对本单位的上报项目进行资格有效性审查，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由评审委员会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进行网上初审并确定进入决赛名单。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由评审委员会统一组织决赛评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审，决赛采取答辩方式进行。</w:t>
      </w:r>
    </w:p>
    <w:p>
      <w:pPr>
        <w:spacing w:line="258" w:lineRule="auto"/>
        <w:rPr>
          <w:rFonts w:ascii="Times New Roman"/>
          <w:sz w:val="21"/>
        </w:rPr>
      </w:pPr>
    </w:p>
    <w:p>
      <w:pPr>
        <w:spacing w:line="259" w:lineRule="auto"/>
        <w:rPr>
          <w:rFonts w:ascii="Times New Roman"/>
          <w:sz w:val="21"/>
        </w:rPr>
      </w:pPr>
    </w:p>
    <w:p>
      <w:pPr>
        <w:spacing w:before="104" w:line="188" w:lineRule="auto"/>
        <w:ind w:firstLine="27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第二章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组织机构及其职责</w:t>
      </w:r>
    </w:p>
    <w:p>
      <w:pPr>
        <w:spacing w:before="298" w:line="188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第五条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竞赛设立组织委员会，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由主管校领导、党委办公室/</w:t>
      </w:r>
    </w:p>
    <w:p>
      <w:pPr>
        <w:spacing w:before="209" w:line="180" w:lineRule="auto"/>
        <w:ind w:firstLine="4147"/>
        <w:rPr>
          <w:rFonts w:ascii="等线" w:hAnsi="等线" w:eastAsia="等线" w:cs="等线"/>
          <w:sz w:val="32"/>
          <w:szCs w:val="32"/>
        </w:rPr>
      </w:pPr>
      <w:r>
        <w:rPr>
          <w:rFonts w:ascii="等线" w:hAnsi="等线" w:eastAsia="等线" w:cs="等线"/>
          <w:spacing w:val="-1"/>
          <w:sz w:val="32"/>
          <w:szCs w:val="32"/>
        </w:rPr>
        <w:t>—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26</w:t>
      </w:r>
      <w:r>
        <w:rPr>
          <w:rFonts w:ascii="等线" w:hAnsi="等线" w:eastAsia="等线" w:cs="等线"/>
          <w:spacing w:val="-1"/>
          <w:sz w:val="32"/>
          <w:szCs w:val="32"/>
        </w:rPr>
        <w:t>—</w:t>
      </w:r>
    </w:p>
    <w:p>
      <w:pPr>
        <w:sectPr>
          <w:footerReference r:id="rId5" w:type="default"/>
          <w:pgSz w:w="11906" w:h="16839"/>
          <w:pgMar w:top="1431" w:right="1137" w:bottom="400" w:left="1381" w:header="0" w:footer="0" w:gutter="0"/>
          <w:cols w:space="720" w:num="1"/>
        </w:sectPr>
      </w:pPr>
    </w:p>
    <w:p>
      <w:pPr>
        <w:spacing w:before="311" w:line="360" w:lineRule="auto"/>
        <w:ind w:left="2" w:firstLine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行政办公室、人力资源部、学生工作部、教务部、校团委、教师发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展中心、学生就业指导中心、学生创新创业实践中心负责人、各学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院、书院主管学生科技创新的院领导组成。组织委员会设主任一名，</w:t>
      </w:r>
    </w:p>
    <w:p>
      <w:pPr>
        <w:spacing w:before="6" w:line="359" w:lineRule="auto"/>
        <w:ind w:left="2" w:right="95" w:firstLine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副主任若干名，委员若干名，秘书一名。组委会成员负责指导赛事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活动，有权对赛事活动提出意见和建议，并根据各个项目类型的具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体赛事情况调整各个项目类型评奖数量及比例，并对各学院、书院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提交的意见和建议进行协调和裁决。</w:t>
      </w:r>
    </w:p>
    <w:p>
      <w:pPr>
        <w:spacing w:line="204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第六条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组织委员会的职责如下：</w:t>
      </w:r>
    </w:p>
    <w:p>
      <w:pPr>
        <w:spacing w:before="270" w:line="188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1．审议、修改大赛的章程和评审规则；</w:t>
      </w:r>
    </w:p>
    <w:p>
      <w:pPr>
        <w:spacing w:before="298" w:line="188" w:lineRule="auto"/>
        <w:ind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2．协商议决组织工作中的重大问题；</w:t>
      </w:r>
    </w:p>
    <w:p>
      <w:pPr>
        <w:spacing w:before="298" w:line="188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3．筹集大赛组织、评审、奖励所需的经费；</w:t>
      </w:r>
    </w:p>
    <w:p>
      <w:pPr>
        <w:spacing w:before="298" w:line="188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4．判定受到质疑和投诉的作品或作者；</w:t>
      </w:r>
    </w:p>
    <w:p>
      <w:pPr>
        <w:spacing w:before="299" w:line="188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5．议决其它应由组织委员会议决的事项。</w:t>
      </w:r>
    </w:p>
    <w:p>
      <w:pPr>
        <w:spacing w:before="297" w:line="360" w:lineRule="auto"/>
        <w:ind w:left="11" w:right="114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第七条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评审委员会由大赛组织委员会聘请各相关领域杰出教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师、优秀博士研究生共同组成。评审委员会设主任一名，副主任若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干名，评审委员若干名。</w:t>
      </w:r>
    </w:p>
    <w:p>
      <w:pPr>
        <w:spacing w:before="2" w:line="201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评审委员会一经组织委员会批准成立，则有权在本章程和评审</w:t>
      </w:r>
    </w:p>
    <w:p>
      <w:pPr>
        <w:spacing w:before="274" w:line="18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规则所规定的原则下，独立开展评审工作。</w:t>
      </w:r>
    </w:p>
    <w:p>
      <w:pPr>
        <w:spacing w:before="298" w:line="188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第八条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评审委员会的职责如下：</w:t>
      </w:r>
    </w:p>
    <w:p>
      <w:pPr>
        <w:spacing w:before="299" w:line="188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1．在本章程和评审规则基础上制定评审实施细则；</w:t>
      </w:r>
    </w:p>
    <w:p>
      <w:pPr>
        <w:spacing w:before="298" w:line="188" w:lineRule="auto"/>
        <w:ind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2．参加现场答辩会，审看参赛项目，对作者进行问辩及质询；</w:t>
      </w:r>
    </w:p>
    <w:p>
      <w:pPr>
        <w:sectPr>
          <w:footerReference r:id="rId6" w:type="default"/>
          <w:pgSz w:w="11906" w:h="16839"/>
          <w:pgMar w:top="1431" w:right="1152" w:bottom="1767" w:left="1380" w:header="0" w:footer="1544" w:gutter="0"/>
          <w:cols w:space="720" w:num="1"/>
        </w:sectPr>
      </w:pPr>
    </w:p>
    <w:p>
      <w:pPr>
        <w:spacing w:before="312" w:line="188" w:lineRule="auto"/>
        <w:ind w:firstLine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3．决定受到质疑和投诉的作品或作者的处理；</w:t>
      </w:r>
    </w:p>
    <w:p>
      <w:pPr>
        <w:spacing w:before="298" w:line="188" w:lineRule="auto"/>
        <w:ind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4．在竞赛领导小组的协同下，确定获奖作品等次名单。</w:t>
      </w:r>
    </w:p>
    <w:p>
      <w:pPr>
        <w:spacing w:before="298" w:line="188" w:lineRule="auto"/>
        <w:ind w:firstLine="2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第三章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参赛资格与作品申报</w:t>
      </w:r>
    </w:p>
    <w:p>
      <w:pPr>
        <w:spacing w:before="298" w:line="188" w:lineRule="auto"/>
        <w:ind w:firstLine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第九条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竞赛分为军工专场、新生专场。</w:t>
      </w:r>
    </w:p>
    <w:p>
      <w:pPr>
        <w:spacing w:before="297" w:line="360" w:lineRule="auto"/>
        <w:ind w:right="90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军工专场：</w:t>
      </w:r>
      <w:r>
        <w:rPr>
          <w:rFonts w:ascii="仿宋" w:hAnsi="仿宋" w:eastAsia="仿宋" w:cs="仿宋"/>
          <w:spacing w:val="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鼓励学生围绕军工特色和学校办学特点，弘扬学校</w:t>
      </w:r>
      <w:r>
        <w:rPr>
          <w:rFonts w:ascii="仿宋" w:hAnsi="仿宋" w:eastAsia="仿宋" w:cs="仿宋"/>
          <w:sz w:val="32"/>
          <w:szCs w:val="32"/>
        </w:rPr>
        <w:t xml:space="preserve"> “延安根、军工魂”的优良传统，在军工产品设计、文化产业等方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面发挥独特创意，发掘和培育军工创新成果。</w:t>
      </w:r>
    </w:p>
    <w:p>
      <w:pPr>
        <w:spacing w:before="6" w:line="359" w:lineRule="auto"/>
        <w:ind w:left="36" w:right="90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新生专场：</w:t>
      </w:r>
      <w:r>
        <w:rPr>
          <w:rFonts w:ascii="仿宋" w:hAnsi="仿宋" w:eastAsia="仿宋" w:cs="仿宋"/>
          <w:spacing w:val="10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通过围绕“服务校园、便捷生活、工业优化、商业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创新”等主题，启发新生的创新意识，引导新生主动参与创新创业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实践，将日常灵感转为成果，提高自主科研能力，培养和锻炼具有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创新意识和良好科研潜质的优秀人才。</w:t>
      </w:r>
    </w:p>
    <w:p>
      <w:pPr>
        <w:spacing w:before="8" w:line="359" w:lineRule="auto"/>
        <w:ind w:left="36" w:firstLine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第十条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军工专场、新生专场单独申报，单独评审，均采用“分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类申报、分类评比、综合评奖”的申报和评审办法。按照如下分类：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创意概念类（以文字为主要形式呈现的创意想法）、创新设计类（以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电脑手绘、数码制作、3D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建模等形式呈现的作品）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和创新实物类（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具备应用价值或未来可能应用的创新作品）。</w:t>
      </w:r>
    </w:p>
    <w:p>
      <w:pPr>
        <w:spacing w:before="7" w:line="359" w:lineRule="auto"/>
        <w:ind w:left="35" w:right="90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第十一条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各类项目都需提交作品论文（报告</w:t>
      </w:r>
      <w:r>
        <w:rPr>
          <w:rFonts w:ascii="仿宋" w:hAnsi="仿宋" w:eastAsia="仿宋" w:cs="仿宋"/>
          <w:spacing w:val="-93"/>
          <w:sz w:val="32"/>
          <w:szCs w:val="32"/>
        </w:rPr>
        <w:t>），</w:t>
      </w:r>
      <w:r>
        <w:rPr>
          <w:rFonts w:ascii="仿宋" w:hAnsi="仿宋" w:eastAsia="仿宋" w:cs="仿宋"/>
          <w:spacing w:val="-6"/>
          <w:sz w:val="32"/>
          <w:szCs w:val="32"/>
        </w:rPr>
        <w:t>内容应包括两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个部分，第一部分包括创意主旨的阐述、创意背景以及解决的实际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问题，第二部分为项目的效果图等视觉效果。同时论文（报告）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严格按照要求格式，每篇字数不少于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3000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字。</w:t>
      </w:r>
    </w:p>
    <w:p>
      <w:pPr>
        <w:spacing w:before="2" w:line="201" w:lineRule="auto"/>
        <w:ind w:firstLine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第十二条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创新设计类、创新实物类在参加决赛答辩时候还需</w:t>
      </w:r>
    </w:p>
    <w:p>
      <w:pPr>
        <w:sectPr>
          <w:footerReference r:id="rId7" w:type="default"/>
          <w:pgSz w:w="11906" w:h="16839"/>
          <w:pgMar w:top="1431" w:right="1157" w:bottom="1767" w:left="1347" w:header="0" w:footer="1545" w:gutter="0"/>
          <w:cols w:space="720" w:num="1"/>
        </w:sectPr>
      </w:pPr>
    </w:p>
    <w:p>
      <w:pPr>
        <w:spacing w:before="312" w:line="188" w:lineRule="auto"/>
        <w:ind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提交可展示的作品实物或模型。</w:t>
      </w:r>
    </w:p>
    <w:p>
      <w:pPr>
        <w:spacing w:before="297" w:line="360" w:lineRule="auto"/>
        <w:ind w:right="110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第十三条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军工专场：</w:t>
      </w:r>
      <w:r>
        <w:rPr>
          <w:rFonts w:ascii="仿宋" w:hAnsi="仿宋" w:eastAsia="仿宋" w:cs="仿宋"/>
          <w:spacing w:val="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凡在竞赛举办当学期初正式注册的全日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制非成人教育在校本科生、硕士研究生和博士研究生（均不含在职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研究生）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都可申报作品参赛。对于各参赛类别，每名学生只可参与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一个项目，每个项目只能申报一种类别，且每个项目团队成员不超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过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5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人</w:t>
      </w:r>
      <w:r>
        <w:rPr>
          <w:rFonts w:ascii="仿宋" w:hAnsi="仿宋" w:eastAsia="仿宋" w:cs="仿宋"/>
          <w:spacing w:val="-1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。</w:t>
      </w:r>
    </w:p>
    <w:p>
      <w:pPr>
        <w:spacing w:line="360" w:lineRule="auto"/>
        <w:ind w:left="2" w:right="110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新生专场：</w:t>
      </w:r>
      <w:r>
        <w:rPr>
          <w:rFonts w:ascii="仿宋" w:hAnsi="仿宋" w:eastAsia="仿宋" w:cs="仿宋"/>
          <w:spacing w:val="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面向新生，各书院大一学生都可申报作品参赛。对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于各参赛类别，每名学生只可参与一个项目，每个项目只能申报一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种类别，且每个项目团队成员不超过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5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人。为鼓励大一学生与高年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级学生互动交流、相互合作，项目团队中可包含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名高年级学生，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但项目团队负责人必须为大一学生。</w:t>
      </w:r>
    </w:p>
    <w:p>
      <w:pPr>
        <w:spacing w:line="204" w:lineRule="auto"/>
        <w:ind w:firstLine="32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第四章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评审与评奖</w:t>
      </w:r>
    </w:p>
    <w:p>
      <w:pPr>
        <w:spacing w:before="269" w:line="360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第十四条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评审委员会对各单位报送的参赛项目进行初审，评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出部分项目进入决赛。综合考虑作品的创新性、可行性、完整性综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合评奖，决赛设特等奖、一等奖、二等奖、三等奖。特等奖设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（可空缺</w:t>
      </w:r>
      <w:r>
        <w:rPr>
          <w:rFonts w:ascii="仿宋" w:hAnsi="仿宋" w:eastAsia="仿宋" w:cs="仿宋"/>
          <w:spacing w:val="-112"/>
          <w:sz w:val="32"/>
          <w:szCs w:val="32"/>
        </w:rPr>
        <w:t>），</w:t>
      </w:r>
      <w:r>
        <w:rPr>
          <w:rFonts w:ascii="仿宋" w:hAnsi="仿宋" w:eastAsia="仿宋" w:cs="仿宋"/>
          <w:spacing w:val="-3"/>
          <w:sz w:val="32"/>
          <w:szCs w:val="32"/>
        </w:rPr>
        <w:t>其余各奖项的数量占参赛项目总数比例分别不超过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5%、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15%、30%。竞赛组委会经过全体讨论通过，可以根据实际情况调整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二、三等奖的名额，调整比例不得多于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2％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。获奖项目得分为：</w:t>
      </w:r>
      <w:r>
        <w:rPr>
          <w:rFonts w:ascii="仿宋" w:hAnsi="仿宋" w:eastAsia="仿宋" w:cs="仿宋"/>
          <w:spacing w:val="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等奖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分，一等奖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60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分，二等奖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30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分，三等奖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分。分类计算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项目得分时，创新实物类的获奖项目在其实际得分基础上给予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5%加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分。</w:t>
      </w:r>
    </w:p>
    <w:p>
      <w:pPr>
        <w:sectPr>
          <w:footerReference r:id="rId8" w:type="default"/>
          <w:pgSz w:w="11906" w:h="16839"/>
          <w:pgMar w:top="1431" w:right="1137" w:bottom="1767" w:left="1380" w:header="0" w:footer="1544" w:gutter="0"/>
          <w:cols w:space="720" w:num="1"/>
        </w:sectPr>
      </w:pPr>
    </w:p>
    <w:p>
      <w:pPr>
        <w:spacing w:before="311" w:line="360" w:lineRule="auto"/>
        <w:ind w:right="119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确认资格有效的获奖项目，由竞赛组织委员会向作者颁发获奖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证书。获奖作品申请“大学生创新创业训练计划”将被优先考虑。</w:t>
      </w:r>
    </w:p>
    <w:p>
      <w:pPr>
        <w:spacing w:line="204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第十五条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获奖项目作者有责任和义务在学校相关部门的组织</w:t>
      </w:r>
    </w:p>
    <w:p>
      <w:pPr>
        <w:spacing w:before="270" w:line="188" w:lineRule="auto"/>
        <w:ind w:firstLine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下，参加各级各类大学生科技创新活动。</w:t>
      </w:r>
    </w:p>
    <w:p>
      <w:pPr>
        <w:spacing w:before="298" w:line="188" w:lineRule="auto"/>
        <w:ind w:firstLine="35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第五章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则</w:t>
      </w:r>
    </w:p>
    <w:p>
      <w:pPr>
        <w:spacing w:before="298" w:line="188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第十六条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对获奖的项目，竞赛结束后保留一个月的质疑投诉</w:t>
      </w:r>
    </w:p>
    <w:p>
      <w:pPr>
        <w:spacing w:before="298" w:line="317" w:lineRule="auto"/>
        <w:ind w:left="1" w:right="23" w:hanging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期。若收到投诉，竞赛组委会将委托有关部门进行调查。经调查确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认该作品资格不符，取消该项目获得的奖励，重新计算作者所在单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位团体总分及名次，取消该单位所获的优秀组织奖，并视情节轻重，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根据相关规定分别给予作者和其他有关人员相应的处罚。</w:t>
      </w:r>
    </w:p>
    <w:p>
      <w:pPr>
        <w:spacing w:before="297" w:line="360" w:lineRule="auto"/>
        <w:ind w:left="26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第十八条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本章程自北京理工大学“世纪杯”竞赛组织委员会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审议通过之日起生效，本条例解释权归“世纪杯”竞赛组织委员会。</w:t>
      </w:r>
    </w:p>
    <w:p/>
    <w:sectPr>
      <w:footerReference r:id="rId9" w:type="default"/>
      <w:pgSz w:w="11906" w:h="16839"/>
      <w:pgMar w:top="1431" w:right="1128" w:bottom="1767" w:left="1380" w:header="0" w:footer="15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Times New Roman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exact"/>
      <w:ind w:firstLine="4148"/>
      <w:rPr>
        <w:rFonts w:ascii="等线" w:hAnsi="等线" w:eastAsia="等线" w:cs="等线"/>
        <w:sz w:val="32"/>
        <w:szCs w:val="32"/>
      </w:rPr>
    </w:pPr>
    <w:r>
      <w:rPr>
        <w:rFonts w:ascii="等线" w:hAnsi="等线" w:eastAsia="等线" w:cs="等线"/>
        <w:spacing w:val="-1"/>
        <w:position w:val="-2"/>
        <w:sz w:val="32"/>
        <w:szCs w:val="32"/>
      </w:rPr>
      <w:t>—</w:t>
    </w:r>
    <w:r>
      <w:rPr>
        <w:rFonts w:ascii="Times New Roman" w:hAnsi="Times New Roman" w:eastAsia="Times New Roman" w:cs="Times New Roman"/>
        <w:spacing w:val="-1"/>
        <w:position w:val="-2"/>
        <w:sz w:val="32"/>
        <w:szCs w:val="32"/>
      </w:rPr>
      <w:t>27</w:t>
    </w:r>
    <w:r>
      <w:rPr>
        <w:rFonts w:ascii="等线" w:hAnsi="等线" w:eastAsia="等线" w:cs="等线"/>
        <w:spacing w:val="-1"/>
        <w:position w:val="-2"/>
        <w:sz w:val="32"/>
        <w:szCs w:val="32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exact"/>
      <w:ind w:firstLine="4181"/>
      <w:rPr>
        <w:rFonts w:ascii="等线" w:hAnsi="等线" w:eastAsia="等线" w:cs="等线"/>
        <w:sz w:val="32"/>
        <w:szCs w:val="32"/>
      </w:rPr>
    </w:pPr>
    <w:r>
      <w:rPr>
        <w:rFonts w:ascii="等线" w:hAnsi="等线" w:eastAsia="等线" w:cs="等线"/>
        <w:spacing w:val="-1"/>
        <w:position w:val="-2"/>
        <w:sz w:val="32"/>
        <w:szCs w:val="32"/>
      </w:rPr>
      <w:t>—</w:t>
    </w:r>
    <w:r>
      <w:rPr>
        <w:rFonts w:ascii="Times New Roman" w:hAnsi="Times New Roman" w:eastAsia="Times New Roman" w:cs="Times New Roman"/>
        <w:spacing w:val="-1"/>
        <w:position w:val="-2"/>
        <w:sz w:val="32"/>
        <w:szCs w:val="32"/>
      </w:rPr>
      <w:t>28</w:t>
    </w:r>
    <w:r>
      <w:rPr>
        <w:rFonts w:ascii="等线" w:hAnsi="等线" w:eastAsia="等线" w:cs="等线"/>
        <w:spacing w:val="-1"/>
        <w:position w:val="-2"/>
        <w:sz w:val="32"/>
        <w:szCs w:val="32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exact"/>
      <w:ind w:firstLine="4148"/>
      <w:rPr>
        <w:rFonts w:ascii="等线" w:hAnsi="等线" w:eastAsia="等线" w:cs="等线"/>
        <w:sz w:val="32"/>
        <w:szCs w:val="32"/>
      </w:rPr>
    </w:pPr>
    <w:r>
      <w:rPr>
        <w:rFonts w:ascii="等线" w:hAnsi="等线" w:eastAsia="等线" w:cs="等线"/>
        <w:spacing w:val="-1"/>
        <w:position w:val="-2"/>
        <w:sz w:val="32"/>
        <w:szCs w:val="32"/>
      </w:rPr>
      <w:t>—</w:t>
    </w:r>
    <w:r>
      <w:rPr>
        <w:rFonts w:ascii="Times New Roman" w:hAnsi="Times New Roman" w:eastAsia="Times New Roman" w:cs="Times New Roman"/>
        <w:spacing w:val="-1"/>
        <w:position w:val="-2"/>
        <w:sz w:val="32"/>
        <w:szCs w:val="32"/>
      </w:rPr>
      <w:t>29</w:t>
    </w:r>
    <w:r>
      <w:rPr>
        <w:rFonts w:ascii="等线" w:hAnsi="等线" w:eastAsia="等线" w:cs="等线"/>
        <w:spacing w:val="-1"/>
        <w:position w:val="-2"/>
        <w:sz w:val="32"/>
        <w:szCs w:val="32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exact"/>
      <w:ind w:firstLine="4148"/>
      <w:rPr>
        <w:rFonts w:ascii="等线" w:hAnsi="等线" w:eastAsia="等线" w:cs="等线"/>
        <w:sz w:val="32"/>
        <w:szCs w:val="32"/>
      </w:rPr>
    </w:pPr>
    <w:r>
      <w:rPr>
        <w:rFonts w:ascii="等线" w:hAnsi="等线" w:eastAsia="等线" w:cs="等线"/>
        <w:spacing w:val="-1"/>
        <w:position w:val="-2"/>
        <w:sz w:val="32"/>
        <w:szCs w:val="32"/>
      </w:rPr>
      <w:t>—</w:t>
    </w:r>
    <w:r>
      <w:rPr>
        <w:rFonts w:ascii="Times New Roman" w:hAnsi="Times New Roman" w:eastAsia="Times New Roman" w:cs="Times New Roman"/>
        <w:spacing w:val="-1"/>
        <w:position w:val="-2"/>
        <w:sz w:val="32"/>
        <w:szCs w:val="32"/>
      </w:rPr>
      <w:t>30</w:t>
    </w:r>
    <w:r>
      <w:rPr>
        <w:rFonts w:ascii="等线" w:hAnsi="等线" w:eastAsia="等线" w:cs="等线"/>
        <w:spacing w:val="-1"/>
        <w:position w:val="-2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2220F"/>
    <w:rsid w:val="0F92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2022-03-16T03:45:00Z</dcterms:created>
  <dc:creator>HIJK</dc:creator>
  <cp:lastModifiedBy>HIJK</cp:lastModifiedBy>
  <dcterms:modified xsi:type="dcterms:W3CDTF">2022-03-16T04:01:37Z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ADE1DCE1D4094892A3951AE13AA9EC01</vt:lpwstr>
  </property>
</Properties>
</file>